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jc w:val="center"/>
        <w:rPr>
          <w:szCs w:val="24"/>
          <w:lang w:val="uk-UA"/>
        </w:rPr>
      </w:pP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57200" cy="622300"/>
                <wp:effectExtent l="0" t="0" r="0" b="6350"/>
                <wp:docPr id="1" name="Picture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57200" cy="622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6.00pt;height:49.00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Cs w:val="24"/>
          <w:lang w:val="uk-UA"/>
        </w:rPr>
      </w:r>
      <w:r>
        <w:rPr>
          <w:szCs w:val="24"/>
          <w:lang w:val="uk-UA"/>
        </w:rPr>
      </w:r>
    </w:p>
    <w:p>
      <w:pPr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</w:rPr>
      </w:r>
    </w:p>
    <w:p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ПРОЕКТ </w:t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rPr>
          <w:color w:val="000000"/>
          <w:spacing w:val="-9"/>
          <w:sz w:val="28"/>
          <w:szCs w:val="28"/>
        </w:rPr>
      </w:pPr>
      <w:r>
        <w:rPr>
          <w:color w:val="000000"/>
          <w:spacing w:val="-7"/>
          <w:sz w:val="28"/>
          <w:szCs w:val="28"/>
        </w:rPr>
        <w:t xml:space="preserve">09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квітня</w:t>
      </w:r>
      <w:r>
        <w:rPr>
          <w:sz w:val="28"/>
          <w:szCs w:val="28"/>
          <w:lang w:val="uk-UA"/>
        </w:rPr>
        <w:t xml:space="preserve"> 202</w:t>
      </w:r>
      <w:r>
        <w:rPr>
          <w:sz w:val="28"/>
          <w:szCs w:val="28"/>
          <w:lang w:val="uk-UA"/>
        </w:rPr>
        <w:t xml:space="preserve">6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р</w:t>
      </w:r>
      <w:r>
        <w:rPr>
          <w:sz w:val="28"/>
          <w:szCs w:val="28"/>
          <w:lang w:val="uk-UA"/>
        </w:rPr>
        <w:t xml:space="preserve">оку</w:t>
      </w:r>
      <w:r>
        <w:rPr>
          <w:color w:val="000000"/>
          <w:spacing w:val="-7"/>
          <w:sz w:val="28"/>
          <w:szCs w:val="28"/>
          <w:lang w:val="uk-UA"/>
        </w:rPr>
        <w:tab/>
      </w:r>
      <w:r>
        <w:rPr>
          <w:color w:val="000000"/>
          <w:spacing w:val="-7"/>
          <w:sz w:val="28"/>
          <w:szCs w:val="28"/>
          <w:lang w:val="uk-UA"/>
        </w:rPr>
        <w:tab/>
        <w:t xml:space="preserve">         м.</w:t>
      </w:r>
      <w:r>
        <w:rPr>
          <w:color w:val="000000"/>
          <w:spacing w:val="-7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  <w:t xml:space="preserve">Берестин </w:t>
      </w:r>
      <w:r>
        <w:rPr>
          <w:color w:val="000000"/>
          <w:spacing w:val="-7"/>
          <w:sz w:val="28"/>
          <w:szCs w:val="28"/>
          <w:lang w:val="uk-UA"/>
        </w:rPr>
        <w:tab/>
      </w:r>
      <w:r>
        <w:rPr>
          <w:color w:val="000000"/>
          <w:spacing w:val="-7"/>
          <w:sz w:val="28"/>
          <w:szCs w:val="28"/>
          <w:lang w:val="uk-UA"/>
        </w:rPr>
        <w:tab/>
      </w:r>
      <w:r>
        <w:rPr>
          <w:color w:val="000000"/>
          <w:spacing w:val="-7"/>
          <w:sz w:val="28"/>
          <w:szCs w:val="28"/>
          <w:lang w:val="uk-UA"/>
        </w:rPr>
        <w:tab/>
      </w:r>
      <w:r>
        <w:rPr>
          <w:color w:val="000000"/>
          <w:spacing w:val="-9"/>
          <w:sz w:val="28"/>
          <w:szCs w:val="28"/>
          <w:lang w:val="uk-UA"/>
        </w:rPr>
        <w:t xml:space="preserve">                        </w:t>
      </w:r>
      <w:r>
        <w:rPr>
          <w:color w:val="000000"/>
          <w:spacing w:val="-9"/>
          <w:sz w:val="28"/>
          <w:szCs w:val="28"/>
        </w:rPr>
        <w:t xml:space="preserve">№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</w:rPr>
      </w:r>
    </w:p>
    <w:p>
      <w:pPr>
        <w:pBdr/>
        <w:spacing/>
        <w:ind/>
        <w:jc w:val="both"/>
        <w:rPr>
          <w:color w:val="000000"/>
          <w:spacing w:val="-9"/>
          <w:sz w:val="28"/>
          <w:szCs w:val="28"/>
        </w:rPr>
      </w:pP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</w:rPr>
      </w:r>
    </w:p>
    <w:tbl>
      <w:tblPr>
        <w:tblW w:w="9807" w:type="dxa"/>
        <w:tblBorders/>
        <w:tblLook w:val="00A0" w:firstRow="1" w:lastRow="0" w:firstColumn="1" w:lastColumn="0" w:noHBand="0" w:noVBand="0"/>
      </w:tblPr>
      <w:tblGrid>
        <w:gridCol w:w="5637"/>
        <w:gridCol w:w="4170"/>
      </w:tblGrid>
      <w:tr>
        <w:trPr/>
        <w:tc>
          <w:tcPr>
            <w:tcBorders/>
            <w:tcW w:w="5637" w:type="dxa"/>
            <w:textDirection w:val="lrTb"/>
            <w:noWrap w:val="false"/>
          </w:tcPr>
          <w:p>
            <w:pPr>
              <w:pBdr/>
              <w:spacing/>
              <w:ind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uk-UA" w:eastAsia="en-US"/>
              </w:rPr>
              <w:t xml:space="preserve">Про включення об’єкту нерухомого майна до Переліку першого типу об’єктів оренди комунальної власності </w:t>
            </w:r>
            <w:r>
              <w:rPr>
                <w:bCs/>
                <w:sz w:val="28"/>
                <w:szCs w:val="28"/>
                <w:lang w:val="uk-UA" w:eastAsia="en-US"/>
              </w:rPr>
              <w:t xml:space="preserve">Берестинської</w:t>
            </w:r>
            <w:r>
              <w:rPr>
                <w:bCs/>
                <w:sz w:val="28"/>
                <w:szCs w:val="28"/>
                <w:lang w:val="uk-UA" w:eastAsia="en-US"/>
              </w:rPr>
              <w:t xml:space="preserve"> </w:t>
            </w:r>
            <w:r>
              <w:rPr>
                <w:bCs/>
                <w:sz w:val="28"/>
                <w:szCs w:val="28"/>
                <w:lang w:val="uk-UA" w:eastAsia="en-US"/>
              </w:rPr>
              <w:t xml:space="preserve"> </w:t>
            </w:r>
            <w:r>
              <w:rPr>
                <w:bCs/>
                <w:sz w:val="28"/>
                <w:szCs w:val="28"/>
                <w:lang w:val="uk-UA" w:eastAsia="en-US"/>
              </w:rPr>
              <w:t xml:space="preserve">міської </w:t>
            </w:r>
            <w:r>
              <w:rPr>
                <w:bCs/>
                <w:sz w:val="28"/>
                <w:szCs w:val="28"/>
                <w:lang w:val="uk-UA" w:eastAsia="en-US"/>
              </w:rPr>
              <w:t xml:space="preserve">територіальної громади, які підлягають передачі в оренду за результатами проведення аукціону</w:t>
            </w:r>
            <w:r>
              <w:rPr>
                <w:bCs/>
                <w:sz w:val="28"/>
                <w:szCs w:val="28"/>
                <w:lang w:val="uk-UA" w:eastAsia="en-US"/>
              </w:rPr>
            </w:r>
            <w:r>
              <w:rPr>
                <w:bCs/>
                <w:sz w:val="28"/>
                <w:szCs w:val="28"/>
              </w:rPr>
            </w:r>
          </w:p>
        </w:tc>
        <w:tc>
          <w:tcPr>
            <w:tcBorders/>
            <w:tcW w:w="4170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uk-UA" w:eastAsia="en-US"/>
              </w:rPr>
            </w:r>
            <w:r>
              <w:rPr>
                <w:bCs/>
                <w:sz w:val="28"/>
                <w:szCs w:val="28"/>
                <w:lang w:val="uk-UA" w:eastAsia="en-US"/>
              </w:rPr>
            </w:r>
            <w:r>
              <w:rPr>
                <w:bCs/>
                <w:sz w:val="28"/>
                <w:szCs w:val="28"/>
              </w:rPr>
            </w:r>
          </w:p>
        </w:tc>
      </w:tr>
    </w:tbl>
    <w:p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статей 29, 60 Закону України «Про місцеве самоврядування в Україні», Закону України «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Про оренду державного та комунального майна», </w:t>
      </w:r>
      <w:r>
        <w:rPr>
          <w:sz w:val="28"/>
          <w:szCs w:val="28"/>
          <w:lang w:val="uk-UA"/>
        </w:rPr>
        <w:t xml:space="preserve">Порядку передачі в оренду майна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</w:t>
      </w:r>
      <w:r>
        <w:rPr>
          <w:sz w:val="28"/>
          <w:szCs w:val="28"/>
          <w:lang w:val="uk-UA"/>
        </w:rPr>
        <w:t xml:space="preserve">ської територіальної громади, затвердженого рішенням міської ради від 27 липня 2023 року № 3651-</w:t>
      </w:r>
      <w:r>
        <w:rPr>
          <w:sz w:val="28"/>
          <w:szCs w:val="28"/>
          <w:lang w:val="en-US"/>
        </w:rPr>
        <w:t xml:space="preserve">VIII</w:t>
      </w:r>
      <w:r>
        <w:rPr>
          <w:sz w:val="28"/>
          <w:szCs w:val="28"/>
          <w:lang w:val="uk-UA"/>
        </w:rPr>
        <w:t xml:space="preserve"> «Про забезпечення відносин у сфері оренди майна комунальної власності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</w:t>
      </w:r>
      <w:r>
        <w:rPr>
          <w:sz w:val="28"/>
          <w:szCs w:val="28"/>
          <w:lang w:val="uk-UA"/>
        </w:rPr>
        <w:t xml:space="preserve"> територіальної громади» (зі змінами)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виконавчий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/>
      <w:bookmarkStart w:id="0" w:name="_GoBack"/>
      <w:r/>
      <w:bookmarkEnd w:id="0"/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5"/>
        <w:numPr>
          <w:ilvl w:val="0"/>
          <w:numId w:val="1"/>
        </w:numPr>
        <w:pBdr/>
        <w:tabs>
          <w:tab w:val="left" w:leader="none" w:pos="720"/>
          <w:tab w:val="left" w:leader="none" w:pos="900"/>
        </w:tabs>
        <w:spacing/>
        <w:ind w:firstLine="567" w:left="0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Включити об’єкт нерухомого майна до Переліку першого типу об’єктів оренди комунальної власності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Берестинської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мі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ської територіальної громади, </w:t>
      </w:r>
      <w:r>
        <w:rPr>
          <w:bCs/>
          <w:sz w:val="28"/>
          <w:szCs w:val="28"/>
          <w:lang w:val="uk-UA" w:eastAsia="en-US"/>
        </w:rPr>
        <w:t xml:space="preserve">які підлягають передачі в оренду за результатами проведення аукціону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(далі – Перелік першого типу):</w:t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</w:p>
    <w:p>
      <w:pPr>
        <w:pBdr/>
        <w:spacing/>
        <w:ind/>
        <w:jc w:val="both"/>
        <w:rPr>
          <w:rFonts w:ascii="Times New Roman CYR" w:hAnsi="Times New Roman CYR" w:cs="Times New Roman CYR"/>
          <w:sz w:val="4"/>
          <w:szCs w:val="4"/>
          <w:lang w:val="uk-UA"/>
        </w:rPr>
      </w:pPr>
      <w:r>
        <w:rPr>
          <w:rFonts w:ascii="Times New Roman CYR" w:hAnsi="Times New Roman CYR" w:cs="Times New Roman CYR"/>
          <w:sz w:val="4"/>
          <w:szCs w:val="4"/>
          <w:lang w:val="uk-UA"/>
        </w:rPr>
      </w:r>
      <w:r>
        <w:rPr>
          <w:rFonts w:ascii="Times New Roman CYR" w:hAnsi="Times New Roman CYR" w:cs="Times New Roman CYR"/>
          <w:sz w:val="4"/>
          <w:szCs w:val="4"/>
          <w:lang w:val="uk-UA"/>
        </w:rPr>
      </w:r>
      <w:r>
        <w:rPr>
          <w:rFonts w:ascii="Times New Roman CYR" w:hAnsi="Times New Roman CYR" w:cs="Times New Roman CYR"/>
          <w:sz w:val="4"/>
          <w:szCs w:val="4"/>
          <w:lang w:val="uk-UA"/>
        </w:rPr>
      </w:r>
    </w:p>
    <w:tbl>
      <w:tblPr>
        <w:tblInd w:w="108" w:type="dxa"/>
        <w:tblW w:w="93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1984"/>
        <w:gridCol w:w="851"/>
        <w:gridCol w:w="1842"/>
        <w:gridCol w:w="1985"/>
      </w:tblGrid>
      <w:tr>
        <w:trPr/>
        <w:tc>
          <w:tcPr>
            <w:tcBorders/>
            <w:tcW w:w="2694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 xml:space="preserve">Назва</w:t>
            </w:r>
            <w:r>
              <w:rPr>
                <w:b/>
                <w:bCs/>
                <w:color w:val="000000"/>
                <w:sz w:val="18"/>
                <w:szCs w:val="18"/>
                <w:lang w:val="uk-UA" w:eastAsia="en-U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 xml:space="preserve">об’єкту</w:t>
            </w:r>
            <w:r>
              <w:rPr>
                <w:sz w:val="28"/>
                <w:szCs w:val="28"/>
                <w:lang w:val="uk-UA" w:eastAsia="en-US"/>
              </w:rPr>
            </w:r>
            <w:r>
              <w:rPr>
                <w:sz w:val="28"/>
                <w:szCs w:val="28"/>
                <w:lang w:val="uk-UA" w:eastAsia="en-US"/>
              </w:rPr>
            </w:r>
          </w:p>
        </w:tc>
        <w:tc>
          <w:tcPr>
            <w:tcBorders/>
            <w:tcW w:w="1984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 xml:space="preserve">Адреса</w:t>
            </w:r>
            <w:r>
              <w:rPr>
                <w:sz w:val="28"/>
                <w:szCs w:val="28"/>
                <w:lang w:val="uk-UA" w:eastAsia="en-US"/>
              </w:rPr>
            </w:r>
            <w:r>
              <w:rPr>
                <w:sz w:val="28"/>
                <w:szCs w:val="28"/>
                <w:lang w:val="uk-UA" w:eastAsia="en-US"/>
              </w:rPr>
            </w:r>
          </w:p>
        </w:tc>
        <w:tc>
          <w:tcPr>
            <w:tcBorders/>
            <w:tcW w:w="851" w:type="dxa"/>
            <w:vAlign w:val="center"/>
            <w:textDirection w:val="lrTb"/>
            <w:noWrap w:val="false"/>
          </w:tcPr>
          <w:p>
            <w:pPr>
              <w:pStyle w:val="893"/>
              <w:pBdr/>
              <w:spacing w:after="0" w:afterAutospacing="0" w:before="0" w:beforeAutospacing="0" w:line="276" w:lineRule="auto"/>
              <w:ind/>
              <w:jc w:val="center"/>
              <w:rPr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 xml:space="preserve">Площаоб’єкту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Bdr/>
              <w:spacing w:line="276" w:lineRule="auto"/>
              <w:ind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 xml:space="preserve">кв. м</w:t>
            </w:r>
            <w:r>
              <w:rPr>
                <w:sz w:val="28"/>
                <w:szCs w:val="28"/>
                <w:lang w:val="uk-UA" w:eastAsia="en-US"/>
              </w:rPr>
            </w:r>
            <w:r>
              <w:rPr>
                <w:sz w:val="28"/>
                <w:szCs w:val="28"/>
                <w:lang w:val="uk-UA" w:eastAsia="en-US"/>
              </w:rPr>
            </w:r>
          </w:p>
        </w:tc>
        <w:tc>
          <w:tcPr>
            <w:tcBorders/>
            <w:tcW w:w="1842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 xml:space="preserve">Балансоутримувач</w:t>
            </w:r>
            <w:r>
              <w:rPr>
                <w:sz w:val="28"/>
                <w:szCs w:val="28"/>
                <w:lang w:val="uk-UA" w:eastAsia="en-US"/>
              </w:rPr>
            </w:r>
            <w:r>
              <w:rPr>
                <w:sz w:val="28"/>
                <w:szCs w:val="28"/>
                <w:lang w:val="uk-UA" w:eastAsia="en-US"/>
              </w:rPr>
            </w:r>
          </w:p>
        </w:tc>
        <w:tc>
          <w:tcPr>
            <w:tcBorders/>
            <w:tcW w:w="1985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uk-UA" w:eastAsia="en-US"/>
              </w:rPr>
              <w:t xml:space="preserve">Цільове призначення</w:t>
            </w:r>
            <w:r>
              <w:rPr>
                <w:sz w:val="28"/>
                <w:szCs w:val="28"/>
                <w:lang w:val="uk-UA" w:eastAsia="en-US"/>
              </w:rPr>
            </w:r>
            <w:r>
              <w:rPr>
                <w:sz w:val="28"/>
                <w:szCs w:val="28"/>
                <w:lang w:val="uk-UA" w:eastAsia="en-US"/>
              </w:rPr>
            </w:r>
          </w:p>
        </w:tc>
      </w:tr>
      <w:tr>
        <w:trPr/>
        <w:tc>
          <w:tcPr>
            <w:gridSpan w:val="5"/>
            <w:tcBorders/>
            <w:tcW w:w="9356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b/>
                <w:bCs/>
                <w:color w:val="000000"/>
                <w:sz w:val="18"/>
                <w:szCs w:val="18"/>
                <w:lang w:val="uk-UA"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uk-UA" w:eastAsia="en-US"/>
              </w:rPr>
              <w:t xml:space="preserve">Нерухоме майно комунальної власності </w:t>
            </w:r>
            <w:r>
              <w:rPr>
                <w:b/>
                <w:bCs/>
                <w:color w:val="000000"/>
                <w:sz w:val="18"/>
                <w:szCs w:val="18"/>
                <w:lang w:val="uk-UA" w:eastAsia="en-US"/>
              </w:rPr>
              <w:t xml:space="preserve">Берестин</w:t>
            </w:r>
            <w:r>
              <w:rPr>
                <w:b/>
                <w:bCs/>
                <w:color w:val="000000"/>
                <w:sz w:val="18"/>
                <w:szCs w:val="18"/>
                <w:lang w:val="uk-UA" w:eastAsia="en-US"/>
              </w:rPr>
              <w:t xml:space="preserve">ської</w:t>
            </w:r>
            <w:r>
              <w:rPr>
                <w:b/>
                <w:bCs/>
                <w:color w:val="000000"/>
                <w:sz w:val="18"/>
                <w:szCs w:val="18"/>
                <w:lang w:val="uk-UA" w:eastAsia="en-US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  <w:lang w:val="uk-UA" w:eastAsia="en-US"/>
              </w:rPr>
              <w:t xml:space="preserve"> міської </w:t>
            </w:r>
            <w:r>
              <w:rPr>
                <w:b/>
                <w:bCs/>
                <w:color w:val="000000"/>
                <w:sz w:val="18"/>
                <w:szCs w:val="18"/>
                <w:lang w:val="uk-UA" w:eastAsia="en-US"/>
              </w:rPr>
              <w:t xml:space="preserve">територіальної громади</w:t>
            </w:r>
            <w:r>
              <w:rPr>
                <w:b/>
                <w:bCs/>
                <w:color w:val="000000"/>
                <w:sz w:val="18"/>
                <w:szCs w:val="18"/>
                <w:lang w:val="uk-UA" w:eastAsia="en-US"/>
              </w:rPr>
            </w:r>
            <w:r>
              <w:rPr>
                <w:b/>
                <w:bCs/>
                <w:color w:val="000000"/>
                <w:sz w:val="18"/>
                <w:szCs w:val="18"/>
                <w:lang w:val="uk-UA" w:eastAsia="en-US"/>
              </w:rPr>
            </w:r>
          </w:p>
        </w:tc>
      </w:tr>
      <w:tr>
        <w:trPr/>
        <w:tc>
          <w:tcPr>
            <w:tcBorders/>
            <w:tcW w:w="269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нежитлові приміщення цокольного поверху житлового п’ятиповерхового будинку</w:t>
            </w:r>
            <w:r>
              <w:rPr>
                <w:sz w:val="18"/>
                <w:szCs w:val="18"/>
                <w:lang w:val="uk-UA" w:eastAsia="en-US"/>
              </w:rPr>
            </w:r>
            <w:r>
              <w:rPr>
                <w:sz w:val="18"/>
                <w:szCs w:val="18"/>
                <w:lang w:val="uk-UA" w:eastAsia="en-US"/>
              </w:rPr>
            </w:r>
          </w:p>
        </w:tc>
        <w:tc>
          <w:tcPr>
            <w:tcBorders/>
            <w:tcW w:w="198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Харківська обл.,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м. Берестин,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вул. </w:t>
            </w:r>
            <w:r>
              <w:rPr>
                <w:sz w:val="18"/>
                <w:szCs w:val="18"/>
                <w:lang w:val="uk-UA"/>
              </w:rPr>
              <w:t xml:space="preserve">Полтавська</w:t>
            </w:r>
            <w:r>
              <w:rPr>
                <w:sz w:val="18"/>
                <w:szCs w:val="18"/>
                <w:lang w:val="uk-UA"/>
              </w:rPr>
              <w:t xml:space="preserve">, 90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tcBorders/>
            <w:tcW w:w="851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102,7</w:t>
            </w:r>
            <w:r>
              <w:rPr>
                <w:sz w:val="18"/>
                <w:szCs w:val="18"/>
                <w:lang w:val="uk-UA" w:eastAsia="en-US"/>
              </w:rPr>
            </w:r>
            <w:r>
              <w:rPr>
                <w:sz w:val="18"/>
                <w:szCs w:val="18"/>
                <w:lang w:val="uk-UA" w:eastAsia="en-US"/>
              </w:rPr>
            </w:r>
          </w:p>
        </w:tc>
        <w:tc>
          <w:tcPr>
            <w:tcBorders/>
            <w:tcW w:w="1842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Берестинське</w:t>
            </w:r>
            <w:r>
              <w:rPr>
                <w:sz w:val="18"/>
                <w:szCs w:val="18"/>
                <w:lang w:val="uk-UA" w:eastAsia="en-US"/>
              </w:rPr>
              <w:t xml:space="preserve"> житлове ремонтно-експлуатаційне підприємство</w:t>
            </w:r>
            <w:r>
              <w:rPr>
                <w:sz w:val="18"/>
                <w:szCs w:val="18"/>
                <w:lang w:val="uk-UA" w:eastAsia="en-US"/>
              </w:rPr>
            </w:r>
            <w:r>
              <w:rPr>
                <w:sz w:val="18"/>
                <w:szCs w:val="18"/>
                <w:lang w:val="uk-UA" w:eastAsia="en-US"/>
              </w:rPr>
            </w:r>
          </w:p>
        </w:tc>
        <w:tc>
          <w:tcPr>
            <w:tcBorders/>
            <w:tcW w:w="1985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під склад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</w:tr>
    </w:tbl>
    <w:p>
      <w:pPr>
        <w:pBdr/>
        <w:tabs>
          <w:tab w:val="left" w:leader="none" w:pos="993"/>
        </w:tabs>
        <w:spacing/>
        <w:ind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      2. Відділу управління об’єктами комунальної власності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Берестинської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міської ради </w:t>
      </w:r>
      <w:r>
        <w:rPr>
          <w:sz w:val="28"/>
          <w:szCs w:val="28"/>
          <w:lang w:val="uk-UA"/>
        </w:rPr>
        <w:t xml:space="preserve">забезпечити внесення інформації до ЕТС у порядку, встановленому чинним законодавством України.</w:t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3. Контроль за виконанням рішення покласти на заступника міського голови з питань діяльності виконавчих органів Наталію ЗІНЧЕНКО.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tabs>
          <w:tab w:val="left" w:leader="none" w:pos="0"/>
        </w:tabs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4"/>
          <w:szCs w:val="24"/>
          <w:lang w:val="uk-UA"/>
        </w:rPr>
      </w:pP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  <w:lang w:val="uk-UA"/>
        </w:rPr>
        <w:t xml:space="preserve">іський голова</w:t>
      </w:r>
      <w:r>
        <w:rPr>
          <w:sz w:val="28"/>
          <w:szCs w:val="28"/>
          <w:lang w:val="uk-UA"/>
        </w:rPr>
        <w:tab/>
      </w:r>
      <w:r>
        <w:rPr>
          <w:i/>
          <w:iCs/>
          <w:sz w:val="28"/>
          <w:szCs w:val="28"/>
          <w:lang w:val="uk-UA"/>
        </w:rPr>
        <w:t xml:space="preserve">               </w:t>
      </w:r>
      <w:r>
        <w:rPr>
          <w:i/>
          <w:iCs/>
          <w:sz w:val="28"/>
          <w:szCs w:val="28"/>
          <w:lang w:val="en-US"/>
        </w:rPr>
        <w:t xml:space="preserve">(</w:t>
      </w:r>
      <w:r>
        <w:rPr>
          <w:i/>
          <w:iCs/>
          <w:sz w:val="28"/>
          <w:szCs w:val="28"/>
          <w:lang w:val="uk-UA"/>
        </w:rPr>
        <w:t xml:space="preserve">рішення не прийнято)</w:t>
      </w:r>
      <w:r>
        <w:rPr>
          <w:sz w:val="28"/>
          <w:szCs w:val="28"/>
          <w:lang w:val="uk-UA"/>
        </w:rPr>
        <w:t xml:space="preserve">           Світлана КРИВЕНКО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sectPr>
      <w:footnotePr/>
      <w:endnotePr/>
      <w:type w:val="nextPage"/>
      <w:pgSz w:h="16838" w:orient="portrait" w:w="11906"/>
      <w:pgMar w:top="1134" w:right="850" w:bottom="0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Tahoma">
    <w:panose1 w:val="020B0604030504040204"/>
  </w:font>
  <w:font w:name="Arial">
    <w:panose1 w:val="020B0604020202020204"/>
  </w:font>
  <w:font w:name="SimSun">
    <w:panose1 w:val="02010600030101010101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2608AE"/>
    <w:lvl w:ilvl="0">
      <w:isLgl w:val="false"/>
      <w:lvlJc w:val="left"/>
      <w:lvlText w:val="%1."/>
      <w:numFmt w:val="decimal"/>
      <w:pPr>
        <w:pBdr/>
        <w:spacing/>
        <w:ind w:hanging="360" w:left="1068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88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08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28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48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68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88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08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28"/>
      </w:pPr>
      <w:rPr>
        <w:rFonts w:cs="Times New Roman"/>
      </w:rPr>
      <w:start w:val="1"/>
      <w:suff w:val="tab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doNotExpandShiftReturn w:val="true"/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SimSun" w:cs="Times New Roman"/>
        <w:sz w:val="22"/>
        <w:szCs w:val="22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3">
    <w:name w:val="Table Grid Light"/>
    <w:basedOn w:val="88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1"/>
    <w:basedOn w:val="88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2"/>
    <w:basedOn w:val="88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1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2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3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4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5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6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1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2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3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4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5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6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1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2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3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4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5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6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8">
    <w:name w:val="Heading 1"/>
    <w:basedOn w:val="887"/>
    <w:next w:val="887"/>
    <w:link w:val="837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9">
    <w:name w:val="Heading 2"/>
    <w:basedOn w:val="887"/>
    <w:next w:val="887"/>
    <w:link w:val="838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0">
    <w:name w:val="Heading 3"/>
    <w:basedOn w:val="887"/>
    <w:next w:val="887"/>
    <w:link w:val="839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1">
    <w:name w:val="Heading 4"/>
    <w:basedOn w:val="887"/>
    <w:next w:val="887"/>
    <w:link w:val="840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2">
    <w:name w:val="Heading 5"/>
    <w:basedOn w:val="887"/>
    <w:next w:val="887"/>
    <w:link w:val="841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3">
    <w:name w:val="Heading 6"/>
    <w:basedOn w:val="887"/>
    <w:next w:val="887"/>
    <w:link w:val="842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4">
    <w:name w:val="Heading 7"/>
    <w:basedOn w:val="887"/>
    <w:next w:val="887"/>
    <w:link w:val="843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5">
    <w:name w:val="Heading 8"/>
    <w:basedOn w:val="887"/>
    <w:next w:val="887"/>
    <w:link w:val="844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6">
    <w:name w:val="Heading 9"/>
    <w:basedOn w:val="887"/>
    <w:next w:val="887"/>
    <w:link w:val="845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7">
    <w:name w:val="Heading 1 Char"/>
    <w:basedOn w:val="888"/>
    <w:link w:val="82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8">
    <w:name w:val="Heading 2 Char"/>
    <w:basedOn w:val="888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9">
    <w:name w:val="Heading 3 Char"/>
    <w:basedOn w:val="888"/>
    <w:link w:val="83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0">
    <w:name w:val="Heading 4 Char"/>
    <w:basedOn w:val="888"/>
    <w:link w:val="83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1">
    <w:name w:val="Heading 5 Char"/>
    <w:basedOn w:val="888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2">
    <w:name w:val="Heading 6 Char"/>
    <w:basedOn w:val="888"/>
    <w:link w:val="83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3">
    <w:name w:val="Heading 7 Char"/>
    <w:basedOn w:val="888"/>
    <w:link w:val="83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4">
    <w:name w:val="Heading 8 Char"/>
    <w:basedOn w:val="888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5">
    <w:name w:val="Heading 9 Char"/>
    <w:basedOn w:val="888"/>
    <w:link w:val="83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6">
    <w:name w:val="Title"/>
    <w:basedOn w:val="887"/>
    <w:next w:val="887"/>
    <w:link w:val="847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7">
    <w:name w:val="Title Char"/>
    <w:basedOn w:val="888"/>
    <w:link w:val="84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8">
    <w:name w:val="Subtitle"/>
    <w:basedOn w:val="887"/>
    <w:next w:val="887"/>
    <w:link w:val="849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9">
    <w:name w:val="Subtitle Char"/>
    <w:basedOn w:val="888"/>
    <w:link w:val="84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0">
    <w:name w:val="Quote"/>
    <w:basedOn w:val="887"/>
    <w:next w:val="887"/>
    <w:link w:val="851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1">
    <w:name w:val="Quote Char"/>
    <w:basedOn w:val="888"/>
    <w:link w:val="850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2">
    <w:name w:val="Intense Emphasis"/>
    <w:basedOn w:val="888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3">
    <w:name w:val="Intense Quote"/>
    <w:basedOn w:val="887"/>
    <w:next w:val="887"/>
    <w:link w:val="854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4">
    <w:name w:val="Intense Quote Char"/>
    <w:basedOn w:val="888"/>
    <w:link w:val="853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5">
    <w:name w:val="Intense Reference"/>
    <w:basedOn w:val="888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6">
    <w:name w:val="No Spacing"/>
    <w:basedOn w:val="887"/>
    <w:uiPriority w:val="1"/>
    <w:qFormat/>
    <w:pPr>
      <w:pBdr/>
      <w:spacing w:after="0" w:line="240" w:lineRule="auto"/>
      <w:ind/>
    </w:pPr>
  </w:style>
  <w:style w:type="character" w:styleId="857">
    <w:name w:val="Subtle Emphasis"/>
    <w:basedOn w:val="88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8">
    <w:name w:val="Emphasis"/>
    <w:basedOn w:val="888"/>
    <w:uiPriority w:val="20"/>
    <w:qFormat/>
    <w:pPr>
      <w:pBdr/>
      <w:spacing/>
      <w:ind/>
    </w:pPr>
    <w:rPr>
      <w:i/>
      <w:iCs/>
    </w:rPr>
  </w:style>
  <w:style w:type="character" w:styleId="859">
    <w:name w:val="Strong"/>
    <w:basedOn w:val="888"/>
    <w:uiPriority w:val="22"/>
    <w:qFormat/>
    <w:pPr>
      <w:pBdr/>
      <w:spacing/>
      <w:ind/>
    </w:pPr>
    <w:rPr>
      <w:b/>
      <w:bCs/>
    </w:rPr>
  </w:style>
  <w:style w:type="character" w:styleId="860">
    <w:name w:val="Subtle Reference"/>
    <w:basedOn w:val="88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1">
    <w:name w:val="Book Title"/>
    <w:basedOn w:val="888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2">
    <w:name w:val="Header"/>
    <w:basedOn w:val="887"/>
    <w:link w:val="863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3">
    <w:name w:val="Header Char"/>
    <w:basedOn w:val="888"/>
    <w:link w:val="862"/>
    <w:uiPriority w:val="99"/>
    <w:pPr>
      <w:pBdr/>
      <w:spacing/>
      <w:ind/>
    </w:pPr>
  </w:style>
  <w:style w:type="paragraph" w:styleId="864">
    <w:name w:val="Footer"/>
    <w:basedOn w:val="887"/>
    <w:link w:val="865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5">
    <w:name w:val="Footer Char"/>
    <w:basedOn w:val="888"/>
    <w:link w:val="864"/>
    <w:uiPriority w:val="99"/>
    <w:pPr>
      <w:pBdr/>
      <w:spacing/>
      <w:ind/>
    </w:pPr>
  </w:style>
  <w:style w:type="paragraph" w:styleId="866">
    <w:name w:val="Caption"/>
    <w:basedOn w:val="887"/>
    <w:next w:val="887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7">
    <w:name w:val="footnote text"/>
    <w:basedOn w:val="887"/>
    <w:link w:val="86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8">
    <w:name w:val="Footnote Text Char"/>
    <w:basedOn w:val="888"/>
    <w:link w:val="867"/>
    <w:uiPriority w:val="99"/>
    <w:semiHidden/>
    <w:pPr>
      <w:pBdr/>
      <w:spacing/>
      <w:ind/>
    </w:pPr>
    <w:rPr>
      <w:sz w:val="20"/>
      <w:szCs w:val="20"/>
    </w:rPr>
  </w:style>
  <w:style w:type="character" w:styleId="869">
    <w:name w:val="footnote reference"/>
    <w:basedOn w:val="888"/>
    <w:uiPriority w:val="99"/>
    <w:semiHidden/>
    <w:unhideWhenUsed/>
    <w:pPr>
      <w:pBdr/>
      <w:spacing/>
      <w:ind/>
    </w:pPr>
    <w:rPr>
      <w:vertAlign w:val="superscript"/>
    </w:rPr>
  </w:style>
  <w:style w:type="paragraph" w:styleId="870">
    <w:name w:val="endnote text"/>
    <w:basedOn w:val="887"/>
    <w:link w:val="87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1">
    <w:name w:val="Endnote Text Char"/>
    <w:basedOn w:val="888"/>
    <w:link w:val="870"/>
    <w:uiPriority w:val="99"/>
    <w:semiHidden/>
    <w:pPr>
      <w:pBdr/>
      <w:spacing/>
      <w:ind/>
    </w:pPr>
    <w:rPr>
      <w:sz w:val="20"/>
      <w:szCs w:val="20"/>
    </w:rPr>
  </w:style>
  <w:style w:type="character" w:styleId="872">
    <w:name w:val="endnote reference"/>
    <w:basedOn w:val="888"/>
    <w:uiPriority w:val="99"/>
    <w:semiHidden/>
    <w:unhideWhenUsed/>
    <w:pPr>
      <w:pBdr/>
      <w:spacing/>
      <w:ind/>
    </w:pPr>
    <w:rPr>
      <w:vertAlign w:val="superscript"/>
    </w:rPr>
  </w:style>
  <w:style w:type="character" w:styleId="873">
    <w:name w:val="Hyperlink"/>
    <w:basedOn w:val="888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4">
    <w:name w:val="FollowedHyperlink"/>
    <w:basedOn w:val="888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5">
    <w:name w:val="toc 1"/>
    <w:basedOn w:val="887"/>
    <w:next w:val="887"/>
    <w:uiPriority w:val="39"/>
    <w:unhideWhenUsed/>
    <w:pPr>
      <w:pBdr/>
      <w:spacing w:after="100"/>
      <w:ind/>
    </w:pPr>
  </w:style>
  <w:style w:type="paragraph" w:styleId="876">
    <w:name w:val="toc 2"/>
    <w:basedOn w:val="887"/>
    <w:next w:val="887"/>
    <w:uiPriority w:val="39"/>
    <w:unhideWhenUsed/>
    <w:pPr>
      <w:pBdr/>
      <w:spacing w:after="100"/>
      <w:ind w:left="220"/>
    </w:pPr>
  </w:style>
  <w:style w:type="paragraph" w:styleId="877">
    <w:name w:val="toc 3"/>
    <w:basedOn w:val="887"/>
    <w:next w:val="887"/>
    <w:uiPriority w:val="39"/>
    <w:unhideWhenUsed/>
    <w:pPr>
      <w:pBdr/>
      <w:spacing w:after="100"/>
      <w:ind w:left="440"/>
    </w:pPr>
  </w:style>
  <w:style w:type="paragraph" w:styleId="878">
    <w:name w:val="toc 4"/>
    <w:basedOn w:val="887"/>
    <w:next w:val="887"/>
    <w:uiPriority w:val="39"/>
    <w:unhideWhenUsed/>
    <w:pPr>
      <w:pBdr/>
      <w:spacing w:after="100"/>
      <w:ind w:left="660"/>
    </w:pPr>
  </w:style>
  <w:style w:type="paragraph" w:styleId="879">
    <w:name w:val="toc 5"/>
    <w:basedOn w:val="887"/>
    <w:next w:val="887"/>
    <w:uiPriority w:val="39"/>
    <w:unhideWhenUsed/>
    <w:pPr>
      <w:pBdr/>
      <w:spacing w:after="100"/>
      <w:ind w:left="880"/>
    </w:pPr>
  </w:style>
  <w:style w:type="paragraph" w:styleId="880">
    <w:name w:val="toc 6"/>
    <w:basedOn w:val="887"/>
    <w:next w:val="887"/>
    <w:uiPriority w:val="39"/>
    <w:unhideWhenUsed/>
    <w:pPr>
      <w:pBdr/>
      <w:spacing w:after="100"/>
      <w:ind w:left="1100"/>
    </w:pPr>
  </w:style>
  <w:style w:type="paragraph" w:styleId="881">
    <w:name w:val="toc 7"/>
    <w:basedOn w:val="887"/>
    <w:next w:val="887"/>
    <w:uiPriority w:val="39"/>
    <w:unhideWhenUsed/>
    <w:pPr>
      <w:pBdr/>
      <w:spacing w:after="100"/>
      <w:ind w:left="1320"/>
    </w:pPr>
  </w:style>
  <w:style w:type="paragraph" w:styleId="882">
    <w:name w:val="toc 8"/>
    <w:basedOn w:val="887"/>
    <w:next w:val="887"/>
    <w:uiPriority w:val="39"/>
    <w:unhideWhenUsed/>
    <w:pPr>
      <w:pBdr/>
      <w:spacing w:after="100"/>
      <w:ind w:left="1540"/>
    </w:pPr>
  </w:style>
  <w:style w:type="paragraph" w:styleId="883">
    <w:name w:val="toc 9"/>
    <w:basedOn w:val="887"/>
    <w:next w:val="887"/>
    <w:uiPriority w:val="39"/>
    <w:unhideWhenUsed/>
    <w:pPr>
      <w:pBdr/>
      <w:spacing w:after="100"/>
      <w:ind w:left="1760"/>
    </w:pPr>
  </w:style>
  <w:style w:type="character" w:styleId="884">
    <w:name w:val="Placeholder Text"/>
    <w:basedOn w:val="888"/>
    <w:uiPriority w:val="99"/>
    <w:semiHidden/>
    <w:pPr>
      <w:pBdr/>
      <w:spacing/>
      <w:ind/>
    </w:pPr>
    <w:rPr>
      <w:color w:val="666666"/>
    </w:rPr>
  </w:style>
  <w:style w:type="paragraph" w:styleId="885">
    <w:name w:val="TOC Heading"/>
    <w:uiPriority w:val="39"/>
    <w:unhideWhenUsed/>
    <w:pPr>
      <w:pBdr/>
      <w:spacing/>
      <w:ind/>
    </w:pPr>
  </w:style>
  <w:style w:type="paragraph" w:styleId="886">
    <w:name w:val="table of figures"/>
    <w:basedOn w:val="887"/>
    <w:next w:val="887"/>
    <w:uiPriority w:val="99"/>
    <w:unhideWhenUsed/>
    <w:pPr>
      <w:pBdr/>
      <w:spacing w:after="0" w:afterAutospacing="0"/>
      <w:ind/>
    </w:pPr>
  </w:style>
  <w:style w:type="paragraph" w:styleId="887" w:default="1">
    <w:name w:val="Normal"/>
    <w:qFormat/>
    <w:pPr>
      <w:pBdr/>
      <w:spacing/>
      <w:ind/>
    </w:pPr>
    <w:rPr>
      <w:sz w:val="20"/>
      <w:szCs w:val="20"/>
    </w:rPr>
  </w:style>
  <w:style w:type="character" w:styleId="888" w:default="1">
    <w:name w:val="Default Paragraph Font"/>
    <w:uiPriority w:val="1"/>
    <w:semiHidden/>
    <w:unhideWhenUsed/>
    <w:pPr>
      <w:pBdr/>
      <w:spacing/>
      <w:ind/>
    </w:pPr>
  </w:style>
  <w:style w:type="table" w:styleId="889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0" w:default="1">
    <w:name w:val="No List"/>
    <w:uiPriority w:val="99"/>
    <w:semiHidden/>
    <w:unhideWhenUsed/>
    <w:pPr>
      <w:pBdr/>
      <w:spacing/>
      <w:ind/>
    </w:pPr>
  </w:style>
  <w:style w:type="paragraph" w:styleId="891">
    <w:name w:val="Balloon Text"/>
    <w:basedOn w:val="887"/>
    <w:link w:val="892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892" w:customStyle="1">
    <w:name w:val="Текст выноски Знак"/>
    <w:basedOn w:val="888"/>
    <w:link w:val="891"/>
    <w:uiPriority w:val="99"/>
    <w:semiHidden/>
    <w:pPr>
      <w:pBdr/>
      <w:spacing/>
      <w:ind/>
    </w:pPr>
    <w:rPr>
      <w:rFonts w:ascii="Tahoma" w:hAnsi="Tahoma" w:cs="Tahoma"/>
      <w:sz w:val="16"/>
      <w:szCs w:val="16"/>
      <w:lang w:eastAsia="ru-RU"/>
    </w:rPr>
  </w:style>
  <w:style w:type="paragraph" w:styleId="893">
    <w:name w:val="Normal (Web)"/>
    <w:basedOn w:val="887"/>
    <w:uiPriority w:val="99"/>
    <w:pPr>
      <w:pBdr/>
      <w:spacing w:after="100" w:afterAutospacing="1" w:before="100" w:beforeAutospacing="1"/>
      <w:ind/>
    </w:pPr>
    <w:rPr>
      <w:sz w:val="24"/>
      <w:szCs w:val="24"/>
    </w:rPr>
  </w:style>
  <w:style w:type="table" w:styleId="894">
    <w:name w:val="Table Grid"/>
    <w:basedOn w:val="889"/>
    <w:uiPriority w:val="99"/>
    <w:pPr>
      <w:pBdr/>
      <w:spacing/>
      <w:ind/>
    </w:pPr>
    <w:rPr>
      <w:sz w:val="20"/>
      <w:szCs w:val="20"/>
    </w:r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95">
    <w:name w:val="List Paragraph"/>
    <w:basedOn w:val="887"/>
    <w:uiPriority w:val="99"/>
    <w:qFormat/>
    <w:pPr>
      <w:pBdr/>
      <w:spacing/>
      <w:ind w:left="720"/>
      <w:contextualSpacing w:val="true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KMR-2019</dc:creator>
  <cp:keywords/>
  <dc:description/>
  <cp:revision>6</cp:revision>
  <dcterms:created xsi:type="dcterms:W3CDTF">2026-03-09T10:57:00Z</dcterms:created>
  <dcterms:modified xsi:type="dcterms:W3CDTF">2026-04-09T10:26:03Z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904DEC8B1C4F4160A04583BFC69264D1_13</vt:lpwstr>
  </property>
</Properties>
</file>